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4C" w:rsidRPr="00646BBC" w:rsidRDefault="005205B9" w:rsidP="009614A2">
      <w:pPr>
        <w:jc w:val="both"/>
        <w:rPr>
          <w:rFonts w:ascii="標楷體" w:eastAsia="標楷體" w:hAnsi="標楷體"/>
          <w:sz w:val="40"/>
        </w:rPr>
      </w:pPr>
      <w:proofErr w:type="gramStart"/>
      <w:r w:rsidRPr="00646BBC">
        <w:rPr>
          <w:rFonts w:ascii="標楷體" w:eastAsia="標楷體" w:hAnsi="標楷體" w:hint="eastAsia"/>
          <w:sz w:val="40"/>
        </w:rPr>
        <w:t>臺</w:t>
      </w:r>
      <w:proofErr w:type="gramEnd"/>
      <w:r w:rsidRPr="00646BBC">
        <w:rPr>
          <w:rFonts w:ascii="標楷體" w:eastAsia="標楷體" w:hAnsi="標楷體" w:hint="eastAsia"/>
          <w:sz w:val="40"/>
        </w:rPr>
        <w:t>中市政府及所屬機關學校公教人員出國及赴大陸地區案件處理要點</w:t>
      </w:r>
      <w:r w:rsidR="006A137B" w:rsidRPr="00646BBC">
        <w:rPr>
          <w:rFonts w:ascii="標楷體" w:eastAsia="標楷體" w:hAnsi="標楷體" w:hint="eastAsia"/>
          <w:sz w:val="40"/>
        </w:rPr>
        <w:t>部分規定</w:t>
      </w:r>
      <w:r w:rsidR="00AB260C" w:rsidRPr="00646BBC">
        <w:rPr>
          <w:rFonts w:ascii="標楷體" w:eastAsia="標楷體" w:hAnsi="標楷體" w:hint="eastAsia"/>
          <w:sz w:val="40"/>
        </w:rPr>
        <w:t>修正總說明</w:t>
      </w:r>
    </w:p>
    <w:p w:rsidR="00DB6D98" w:rsidRPr="00646BBC" w:rsidRDefault="004C7752" w:rsidP="009614A2">
      <w:pPr>
        <w:pStyle w:val="Default"/>
        <w:spacing w:line="460" w:lineRule="exact"/>
        <w:jc w:val="both"/>
        <w:rPr>
          <w:rFonts w:eastAsia="標楷體"/>
          <w:color w:val="auto"/>
          <w:sz w:val="28"/>
        </w:rPr>
      </w:pPr>
      <w:r w:rsidRPr="00646BBC">
        <w:rPr>
          <w:rFonts w:eastAsia="標楷體" w:hint="eastAsia"/>
          <w:color w:val="auto"/>
          <w:sz w:val="28"/>
        </w:rPr>
        <w:t xml:space="preserve">    </w:t>
      </w:r>
      <w:r w:rsidR="00193528" w:rsidRPr="00646BBC">
        <w:rPr>
          <w:rStyle w:val="class25"/>
          <w:rFonts w:eastAsia="標楷體" w:hint="eastAsia"/>
          <w:color w:val="auto"/>
          <w:sz w:val="28"/>
          <w:szCs w:val="28"/>
        </w:rPr>
        <w:t>為使本府及所屬機關學校因公派員出國、赴大陸地區，及公教人員申請出國、赴大陸地區案件管理有所依據，本要點於</w:t>
      </w:r>
      <w:r w:rsidR="00193528" w:rsidRPr="00646BBC">
        <w:rPr>
          <w:rFonts w:eastAsia="標楷體" w:hint="eastAsia"/>
          <w:color w:val="auto"/>
          <w:sz w:val="28"/>
        </w:rPr>
        <w:t>一百年一月二十五日以</w:t>
      </w:r>
      <w:proofErr w:type="gramStart"/>
      <w:r w:rsidR="00193528" w:rsidRPr="00646BBC">
        <w:rPr>
          <w:rFonts w:eastAsia="標楷體" w:hint="eastAsia"/>
          <w:color w:val="auto"/>
          <w:sz w:val="28"/>
        </w:rPr>
        <w:t>府授人考字</w:t>
      </w:r>
      <w:proofErr w:type="gramEnd"/>
      <w:r w:rsidR="00193528" w:rsidRPr="00646BBC">
        <w:rPr>
          <w:rFonts w:eastAsia="標楷體" w:hint="eastAsia"/>
          <w:color w:val="auto"/>
          <w:sz w:val="28"/>
        </w:rPr>
        <w:t>第一○○○</w:t>
      </w:r>
      <w:proofErr w:type="gramStart"/>
      <w:r w:rsidR="00193528" w:rsidRPr="00646BBC">
        <w:rPr>
          <w:rFonts w:eastAsia="標楷體" w:hint="eastAsia"/>
          <w:color w:val="auto"/>
          <w:sz w:val="28"/>
        </w:rPr>
        <w:t>○一五七七七</w:t>
      </w:r>
      <w:r w:rsidR="00193528" w:rsidRPr="00646BBC">
        <w:rPr>
          <w:rStyle w:val="class25"/>
          <w:rFonts w:eastAsia="標楷體" w:hint="eastAsia"/>
          <w:color w:val="auto"/>
          <w:sz w:val="28"/>
          <w:szCs w:val="28"/>
        </w:rPr>
        <w:t>號函訂</w:t>
      </w:r>
      <w:proofErr w:type="gramEnd"/>
      <w:r w:rsidR="00193528" w:rsidRPr="00646BBC">
        <w:rPr>
          <w:rStyle w:val="class25"/>
          <w:rFonts w:eastAsia="標楷體" w:hint="eastAsia"/>
          <w:color w:val="auto"/>
          <w:sz w:val="28"/>
          <w:szCs w:val="28"/>
        </w:rPr>
        <w:t>定發布，復於</w:t>
      </w:r>
      <w:r w:rsidR="00193528" w:rsidRPr="00646BBC">
        <w:rPr>
          <w:rFonts w:eastAsia="標楷體" w:hint="eastAsia"/>
          <w:color w:val="auto"/>
          <w:sz w:val="28"/>
        </w:rPr>
        <w:t>一百零一年七月二十六日及一百零三年六月二十三日</w:t>
      </w:r>
      <w:r w:rsidR="00193528" w:rsidRPr="00646BBC">
        <w:rPr>
          <w:rStyle w:val="class25"/>
          <w:rFonts w:eastAsia="標楷體" w:hint="eastAsia"/>
          <w:color w:val="auto"/>
          <w:sz w:val="28"/>
          <w:szCs w:val="28"/>
        </w:rPr>
        <w:t>修正在案。</w:t>
      </w:r>
      <w:proofErr w:type="gramStart"/>
      <w:r w:rsidR="00DB6D98" w:rsidRPr="00646BBC">
        <w:rPr>
          <w:rFonts w:eastAsia="標楷體"/>
          <w:color w:val="auto"/>
          <w:sz w:val="28"/>
        </w:rPr>
        <w:t>為</w:t>
      </w:r>
      <w:r w:rsidR="0074120A" w:rsidRPr="00646BBC">
        <w:rPr>
          <w:rFonts w:eastAsia="標楷體" w:hint="eastAsia"/>
          <w:color w:val="auto"/>
          <w:sz w:val="28"/>
        </w:rPr>
        <w:t>符實務</w:t>
      </w:r>
      <w:proofErr w:type="gramEnd"/>
      <w:r w:rsidR="0074120A" w:rsidRPr="00646BBC">
        <w:rPr>
          <w:rFonts w:eastAsia="標楷體" w:hint="eastAsia"/>
          <w:color w:val="auto"/>
          <w:sz w:val="28"/>
        </w:rPr>
        <w:t>運作需要</w:t>
      </w:r>
      <w:r w:rsidR="00DB6D98" w:rsidRPr="00646BBC">
        <w:rPr>
          <w:rFonts w:eastAsia="標楷體"/>
          <w:color w:val="auto"/>
          <w:sz w:val="28"/>
        </w:rPr>
        <w:t>，爰</w:t>
      </w:r>
      <w:r w:rsidR="006B79A3" w:rsidRPr="00646BBC">
        <w:rPr>
          <w:rFonts w:eastAsia="標楷體" w:hint="eastAsia"/>
          <w:color w:val="auto"/>
          <w:sz w:val="28"/>
        </w:rPr>
        <w:t>予</w:t>
      </w:r>
      <w:r w:rsidR="00DB6D98" w:rsidRPr="00646BBC">
        <w:rPr>
          <w:rFonts w:eastAsia="標楷體"/>
          <w:color w:val="auto"/>
          <w:sz w:val="28"/>
        </w:rPr>
        <w:t>修正</w:t>
      </w:r>
      <w:r w:rsidR="006B79A3" w:rsidRPr="00646BBC">
        <w:rPr>
          <w:rFonts w:eastAsia="標楷體" w:hint="eastAsia"/>
          <w:color w:val="auto"/>
          <w:sz w:val="28"/>
        </w:rPr>
        <w:t>部分內容，以臻完備，其修正重點</w:t>
      </w:r>
      <w:r w:rsidR="00DB6D98" w:rsidRPr="00646BBC">
        <w:rPr>
          <w:rFonts w:eastAsia="標楷體"/>
          <w:color w:val="auto"/>
          <w:sz w:val="28"/>
        </w:rPr>
        <w:t>如下：</w:t>
      </w:r>
    </w:p>
    <w:p w:rsidR="00AC7303" w:rsidRPr="00646BBC" w:rsidRDefault="00AB2299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eastAsia="標楷體"/>
          <w:color w:val="auto"/>
          <w:sz w:val="28"/>
        </w:rPr>
      </w:pPr>
      <w:r w:rsidRPr="00646BBC">
        <w:rPr>
          <w:rFonts w:eastAsia="標楷體" w:hint="eastAsia"/>
          <w:color w:val="auto"/>
          <w:sz w:val="28"/>
        </w:rPr>
        <w:t>本市特種基金包含預算法所規定之營業基金及非營業基金，</w:t>
      </w:r>
      <w:r w:rsidR="00616EE4" w:rsidRPr="00646BBC">
        <w:rPr>
          <w:rFonts w:eastAsia="標楷體" w:hint="eastAsia"/>
          <w:color w:val="auto"/>
          <w:sz w:val="28"/>
        </w:rPr>
        <w:t>另因本</w:t>
      </w:r>
      <w:r w:rsidR="001765EA" w:rsidRPr="00646BBC">
        <w:rPr>
          <w:rFonts w:eastAsia="標楷體" w:hint="eastAsia"/>
          <w:color w:val="auto"/>
          <w:sz w:val="28"/>
        </w:rPr>
        <w:t xml:space="preserve">            </w:t>
      </w:r>
      <w:r w:rsidR="00616EE4" w:rsidRPr="00646BBC">
        <w:rPr>
          <w:rFonts w:eastAsia="標楷體" w:hint="eastAsia"/>
          <w:color w:val="auto"/>
          <w:sz w:val="28"/>
        </w:rPr>
        <w:t>市</w:t>
      </w:r>
      <w:r w:rsidRPr="00646BBC">
        <w:rPr>
          <w:rFonts w:eastAsia="標楷體" w:hint="eastAsia"/>
          <w:color w:val="auto"/>
          <w:sz w:val="28"/>
        </w:rPr>
        <w:t>現行無</w:t>
      </w:r>
      <w:r w:rsidR="0092355E" w:rsidRPr="00646BBC">
        <w:rPr>
          <w:rFonts w:eastAsia="標楷體" w:hint="eastAsia"/>
          <w:color w:val="auto"/>
          <w:sz w:val="28"/>
        </w:rPr>
        <w:t>校務基金</w:t>
      </w:r>
      <w:r w:rsidR="00616EE4" w:rsidRPr="00646BBC">
        <w:rPr>
          <w:rFonts w:eastAsia="標楷體" w:hint="eastAsia"/>
          <w:color w:val="auto"/>
          <w:sz w:val="28"/>
        </w:rPr>
        <w:t>，</w:t>
      </w:r>
      <w:proofErr w:type="gramStart"/>
      <w:r w:rsidR="00616EE4" w:rsidRPr="00646BBC">
        <w:rPr>
          <w:rFonts w:eastAsia="標楷體" w:hint="eastAsia"/>
          <w:color w:val="auto"/>
          <w:sz w:val="28"/>
        </w:rPr>
        <w:t>爰</w:t>
      </w:r>
      <w:proofErr w:type="gramEnd"/>
      <w:r w:rsidR="00F62E39" w:rsidRPr="00646BBC">
        <w:rPr>
          <w:rFonts w:eastAsia="標楷體" w:hint="eastAsia"/>
          <w:color w:val="auto"/>
          <w:sz w:val="28"/>
        </w:rPr>
        <w:t>刪除相關</w:t>
      </w:r>
      <w:r w:rsidR="00616EE4" w:rsidRPr="00646BBC">
        <w:rPr>
          <w:rFonts w:eastAsia="標楷體" w:hint="eastAsia"/>
          <w:color w:val="auto"/>
          <w:sz w:val="28"/>
        </w:rPr>
        <w:t>文字</w:t>
      </w:r>
      <w:r w:rsidRPr="00646BBC">
        <w:rPr>
          <w:rFonts w:eastAsia="標楷體" w:hint="eastAsia"/>
          <w:color w:val="auto"/>
          <w:sz w:val="28"/>
        </w:rPr>
        <w:t>。（修正規定</w:t>
      </w:r>
      <w:r w:rsidRPr="00646BBC">
        <w:rPr>
          <w:rFonts w:eastAsia="標楷體"/>
          <w:color w:val="auto"/>
          <w:sz w:val="28"/>
        </w:rPr>
        <w:t>第</w:t>
      </w:r>
      <w:r w:rsidRPr="00646BBC">
        <w:rPr>
          <w:rFonts w:eastAsia="標楷體" w:hint="eastAsia"/>
          <w:color w:val="auto"/>
          <w:sz w:val="28"/>
        </w:rPr>
        <w:t>一點）</w:t>
      </w:r>
    </w:p>
    <w:p w:rsidR="009614A2" w:rsidRPr="00646BBC" w:rsidRDefault="0022145D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eastAsia="標楷體"/>
          <w:color w:val="auto"/>
          <w:sz w:val="28"/>
        </w:rPr>
      </w:pPr>
      <w:r w:rsidRPr="00646BBC">
        <w:rPr>
          <w:rFonts w:eastAsia="標楷體" w:hint="eastAsia"/>
          <w:color w:val="auto"/>
          <w:sz w:val="28"/>
        </w:rPr>
        <w:t>刪除本點後段有關</w:t>
      </w:r>
      <w:proofErr w:type="gramStart"/>
      <w:r w:rsidRPr="00646BBC">
        <w:rPr>
          <w:rFonts w:eastAsia="標楷體" w:hint="eastAsia"/>
          <w:color w:val="auto"/>
          <w:sz w:val="28"/>
        </w:rPr>
        <w:t>臨時性未列入</w:t>
      </w:r>
      <w:proofErr w:type="gramEnd"/>
      <w:r w:rsidRPr="00646BBC">
        <w:rPr>
          <w:rFonts w:eastAsia="標楷體" w:hint="eastAsia"/>
          <w:color w:val="auto"/>
          <w:sz w:val="28"/>
        </w:rPr>
        <w:t>因公出國及赴大陸地區計畫之出國及赴大陸地區案件審核程序，並</w:t>
      </w:r>
      <w:r w:rsidR="00745D01" w:rsidRPr="00646BBC">
        <w:rPr>
          <w:rFonts w:eastAsia="標楷體" w:hint="eastAsia"/>
          <w:color w:val="auto"/>
          <w:sz w:val="28"/>
        </w:rPr>
        <w:t>調整</w:t>
      </w:r>
      <w:r w:rsidRPr="00646BBC">
        <w:rPr>
          <w:rFonts w:eastAsia="標楷體" w:hint="eastAsia"/>
          <w:color w:val="auto"/>
          <w:sz w:val="28"/>
        </w:rPr>
        <w:t>至第三點第二項</w:t>
      </w:r>
      <w:r w:rsidR="00745D01" w:rsidRPr="00646BBC">
        <w:rPr>
          <w:rFonts w:eastAsia="標楷體" w:hint="eastAsia"/>
          <w:color w:val="auto"/>
          <w:sz w:val="28"/>
        </w:rPr>
        <w:t>加以</w:t>
      </w:r>
      <w:r w:rsidRPr="00646BBC">
        <w:rPr>
          <w:rFonts w:eastAsia="標楷體" w:hint="eastAsia"/>
          <w:color w:val="auto"/>
          <w:sz w:val="28"/>
        </w:rPr>
        <w:t>規定</w:t>
      </w:r>
      <w:r w:rsidR="009614A2" w:rsidRPr="00646BBC">
        <w:rPr>
          <w:rFonts w:eastAsia="標楷體" w:hint="eastAsia"/>
          <w:color w:val="auto"/>
          <w:sz w:val="28"/>
        </w:rPr>
        <w:t>。（修正規定</w:t>
      </w:r>
      <w:r w:rsidR="009614A2" w:rsidRPr="00646BBC">
        <w:rPr>
          <w:rFonts w:eastAsia="標楷體"/>
          <w:color w:val="auto"/>
          <w:sz w:val="28"/>
        </w:rPr>
        <w:t>第</w:t>
      </w:r>
      <w:r w:rsidR="009614A2" w:rsidRPr="00646BBC">
        <w:rPr>
          <w:rFonts w:eastAsia="標楷體" w:hint="eastAsia"/>
          <w:color w:val="auto"/>
          <w:sz w:val="28"/>
        </w:rPr>
        <w:t>二點）</w:t>
      </w:r>
    </w:p>
    <w:p w:rsidR="004D4A61" w:rsidRPr="00646BBC" w:rsidRDefault="004C6469" w:rsidP="004C6469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Style w:val="class35"/>
          <w:rFonts w:eastAsia="標楷體"/>
          <w:color w:val="auto"/>
          <w:sz w:val="28"/>
        </w:rPr>
      </w:pPr>
      <w:r w:rsidRPr="00646BBC">
        <w:rPr>
          <w:rFonts w:eastAsia="標楷體" w:hint="eastAsia"/>
          <w:color w:val="auto"/>
          <w:sz w:val="28"/>
        </w:rPr>
        <w:t>年度中新增之</w:t>
      </w:r>
      <w:proofErr w:type="gramStart"/>
      <w:r w:rsidRPr="00646BBC">
        <w:rPr>
          <w:rFonts w:eastAsia="標楷體" w:hint="eastAsia"/>
          <w:color w:val="auto"/>
          <w:sz w:val="28"/>
        </w:rPr>
        <w:t>臨時性未列入</w:t>
      </w:r>
      <w:proofErr w:type="gramEnd"/>
      <w:r w:rsidRPr="00646BBC">
        <w:rPr>
          <w:rFonts w:eastAsia="標楷體" w:hint="eastAsia"/>
          <w:color w:val="auto"/>
          <w:sz w:val="28"/>
        </w:rPr>
        <w:t>因公出國及赴大陸地區計畫之出國及赴大陸地區案件，為簡化</w:t>
      </w:r>
      <w:r w:rsidR="00822710" w:rsidRPr="00646BBC">
        <w:rPr>
          <w:rFonts w:eastAsia="標楷體" w:hint="eastAsia"/>
          <w:color w:val="auto"/>
          <w:sz w:val="28"/>
        </w:rPr>
        <w:t>流程</w:t>
      </w:r>
      <w:r w:rsidRPr="00646BBC">
        <w:rPr>
          <w:rFonts w:eastAsia="標楷體" w:hint="eastAsia"/>
          <w:color w:val="auto"/>
          <w:sz w:val="28"/>
        </w:rPr>
        <w:t>及掌握時效，專案簽會相關機關並報經本府核定，除有必要而召開臨時會外，不另行召開審查會議。</w:t>
      </w:r>
      <w:r w:rsidR="00DA17CE" w:rsidRPr="00646BBC">
        <w:rPr>
          <w:rFonts w:eastAsia="標楷體" w:hint="eastAsia"/>
          <w:color w:val="auto"/>
          <w:sz w:val="28"/>
        </w:rPr>
        <w:t>（修正規定</w:t>
      </w:r>
      <w:r w:rsidR="00DA17CE" w:rsidRPr="00646BBC">
        <w:rPr>
          <w:rFonts w:eastAsia="標楷體"/>
          <w:color w:val="auto"/>
          <w:sz w:val="28"/>
        </w:rPr>
        <w:t>第</w:t>
      </w:r>
      <w:r w:rsidR="00DA17CE" w:rsidRPr="00646BBC">
        <w:rPr>
          <w:rFonts w:eastAsia="標楷體" w:hint="eastAsia"/>
          <w:color w:val="auto"/>
          <w:sz w:val="28"/>
        </w:rPr>
        <w:t>三點）</w:t>
      </w:r>
    </w:p>
    <w:p w:rsidR="00AB2299" w:rsidRPr="00646BBC" w:rsidRDefault="009A08FF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Style w:val="class35"/>
          <w:rFonts w:eastAsia="標楷體"/>
          <w:color w:val="auto"/>
          <w:sz w:val="28"/>
          <w:szCs w:val="28"/>
        </w:rPr>
      </w:pPr>
      <w:r w:rsidRPr="00646BBC">
        <w:rPr>
          <w:rStyle w:val="class35"/>
          <w:rFonts w:eastAsia="標楷體" w:hint="eastAsia"/>
          <w:color w:val="auto"/>
          <w:sz w:val="28"/>
          <w:szCs w:val="28"/>
        </w:rPr>
        <w:t>現行規定「勻支」文義涵蓋範圍較廣，為避免爭議，</w:t>
      </w:r>
      <w:proofErr w:type="gramStart"/>
      <w:r w:rsidRPr="00646BBC">
        <w:rPr>
          <w:rStyle w:val="class35"/>
          <w:rFonts w:eastAsia="標楷體" w:hint="eastAsia"/>
          <w:color w:val="auto"/>
          <w:sz w:val="28"/>
          <w:szCs w:val="28"/>
        </w:rPr>
        <w:t>爰</w:t>
      </w:r>
      <w:proofErr w:type="gramEnd"/>
      <w:r w:rsidRPr="00646BBC">
        <w:rPr>
          <w:rStyle w:val="class35"/>
          <w:rFonts w:eastAsia="標楷體" w:hint="eastAsia"/>
          <w:color w:val="auto"/>
          <w:sz w:val="28"/>
          <w:szCs w:val="28"/>
        </w:rPr>
        <w:t>修正為「支應」。</w:t>
      </w:r>
      <w:r w:rsidR="00AB2299" w:rsidRPr="00646BBC">
        <w:rPr>
          <w:rStyle w:val="class35"/>
          <w:rFonts w:eastAsia="標楷體" w:hint="eastAsia"/>
          <w:color w:val="auto"/>
          <w:sz w:val="28"/>
          <w:szCs w:val="28"/>
        </w:rPr>
        <w:t>（修正規定</w:t>
      </w:r>
      <w:r w:rsidR="00AB2299" w:rsidRPr="00646BBC">
        <w:rPr>
          <w:rStyle w:val="class35"/>
          <w:rFonts w:eastAsia="標楷體"/>
          <w:color w:val="auto"/>
          <w:sz w:val="28"/>
          <w:szCs w:val="28"/>
        </w:rPr>
        <w:t>第</w:t>
      </w:r>
      <w:r w:rsidR="00AB2299" w:rsidRPr="00646BBC">
        <w:rPr>
          <w:rStyle w:val="class35"/>
          <w:rFonts w:eastAsia="標楷體" w:hint="eastAsia"/>
          <w:color w:val="auto"/>
          <w:sz w:val="28"/>
          <w:szCs w:val="28"/>
        </w:rPr>
        <w:t>六點</w:t>
      </w:r>
      <w:r w:rsidR="005D0207" w:rsidRPr="00646BBC">
        <w:rPr>
          <w:rStyle w:val="class35"/>
          <w:rFonts w:eastAsia="標楷體" w:hint="eastAsia"/>
          <w:color w:val="auto"/>
          <w:sz w:val="28"/>
          <w:szCs w:val="28"/>
        </w:rPr>
        <w:t>、第七點</w:t>
      </w:r>
      <w:r w:rsidR="00AB2299" w:rsidRPr="00646BBC">
        <w:rPr>
          <w:rStyle w:val="class35"/>
          <w:rFonts w:eastAsia="標楷體" w:hint="eastAsia"/>
          <w:color w:val="auto"/>
          <w:sz w:val="28"/>
          <w:szCs w:val="28"/>
        </w:rPr>
        <w:t>）</w:t>
      </w:r>
    </w:p>
    <w:p w:rsidR="00AB2299" w:rsidRDefault="00126CE1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eastAsia="標楷體"/>
          <w:color w:val="auto"/>
          <w:sz w:val="28"/>
        </w:rPr>
      </w:pPr>
      <w:r w:rsidRPr="00646BBC">
        <w:rPr>
          <w:rStyle w:val="class45"/>
          <w:rFonts w:eastAsia="標楷體" w:hint="eastAsia"/>
          <w:color w:val="auto"/>
          <w:sz w:val="28"/>
          <w:szCs w:val="28"/>
        </w:rPr>
        <w:t>修正各機關、基金因國外及赴大陸地區旅費預算不足，須由年度相關經費項下調整時，專案報本府核定之規定</w:t>
      </w:r>
      <w:r w:rsidR="00004144" w:rsidRPr="00646BBC">
        <w:rPr>
          <w:rFonts w:eastAsia="標楷體" w:hint="eastAsia"/>
          <w:color w:val="auto"/>
          <w:sz w:val="28"/>
          <w:szCs w:val="28"/>
        </w:rPr>
        <w:t>。</w:t>
      </w:r>
      <w:r w:rsidR="00B3194A" w:rsidRPr="00646BBC">
        <w:rPr>
          <w:rFonts w:eastAsia="標楷體" w:hint="eastAsia"/>
          <w:color w:val="auto"/>
          <w:sz w:val="28"/>
        </w:rPr>
        <w:t>（修正規定</w:t>
      </w:r>
      <w:r w:rsidR="00B3194A" w:rsidRPr="00646BBC">
        <w:rPr>
          <w:rFonts w:eastAsia="標楷體"/>
          <w:color w:val="auto"/>
          <w:sz w:val="28"/>
        </w:rPr>
        <w:t>第</w:t>
      </w:r>
      <w:r w:rsidR="00B3194A" w:rsidRPr="00646BBC">
        <w:rPr>
          <w:rFonts w:eastAsia="標楷體" w:hint="eastAsia"/>
          <w:color w:val="auto"/>
          <w:sz w:val="28"/>
        </w:rPr>
        <w:t>七點）</w:t>
      </w:r>
    </w:p>
    <w:p w:rsidR="00093146" w:rsidRPr="00646BBC" w:rsidRDefault="00093146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eastAsia="標楷體"/>
          <w:color w:val="auto"/>
          <w:sz w:val="28"/>
        </w:rPr>
      </w:pPr>
      <w:proofErr w:type="gramStart"/>
      <w:r>
        <w:rPr>
          <w:rFonts w:eastAsia="標楷體" w:hint="eastAsia"/>
          <w:color w:val="auto"/>
          <w:sz w:val="28"/>
        </w:rPr>
        <w:t>酌作文字</w:t>
      </w:r>
      <w:proofErr w:type="gramEnd"/>
      <w:r>
        <w:rPr>
          <w:rFonts w:eastAsia="標楷體" w:hint="eastAsia"/>
          <w:color w:val="auto"/>
          <w:sz w:val="28"/>
        </w:rPr>
        <w:t>修正。</w:t>
      </w:r>
      <w:r w:rsidRPr="00646BBC">
        <w:rPr>
          <w:rFonts w:eastAsia="標楷體" w:hint="eastAsia"/>
          <w:color w:val="auto"/>
          <w:sz w:val="28"/>
        </w:rPr>
        <w:t>（修正規定</w:t>
      </w:r>
      <w:r w:rsidRPr="00646BBC">
        <w:rPr>
          <w:rFonts w:eastAsia="標楷體"/>
          <w:color w:val="auto"/>
          <w:sz w:val="28"/>
        </w:rPr>
        <w:t>第</w:t>
      </w:r>
      <w:r w:rsidRPr="00646BBC">
        <w:rPr>
          <w:rFonts w:eastAsia="標楷體" w:hint="eastAsia"/>
          <w:color w:val="auto"/>
          <w:sz w:val="28"/>
        </w:rPr>
        <w:t>十</w:t>
      </w:r>
      <w:r>
        <w:rPr>
          <w:rFonts w:eastAsia="標楷體" w:hint="eastAsia"/>
          <w:color w:val="auto"/>
          <w:sz w:val="28"/>
        </w:rPr>
        <w:t>四</w:t>
      </w:r>
      <w:bookmarkStart w:id="0" w:name="_GoBack"/>
      <w:bookmarkEnd w:id="0"/>
      <w:r w:rsidRPr="00646BBC">
        <w:rPr>
          <w:rFonts w:eastAsia="標楷體" w:hint="eastAsia"/>
          <w:color w:val="auto"/>
          <w:sz w:val="28"/>
        </w:rPr>
        <w:t>點）</w:t>
      </w:r>
    </w:p>
    <w:p w:rsidR="005872FB" w:rsidRPr="00646BBC" w:rsidRDefault="00804BB8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eastAsia="標楷體"/>
          <w:color w:val="auto"/>
          <w:sz w:val="28"/>
        </w:rPr>
      </w:pPr>
      <w:r w:rsidRPr="00646BBC">
        <w:rPr>
          <w:rFonts w:eastAsia="標楷體" w:hint="eastAsia"/>
          <w:color w:val="auto"/>
          <w:sz w:val="28"/>
        </w:rPr>
        <w:t>因應</w:t>
      </w:r>
      <w:r w:rsidR="008E7099" w:rsidRPr="00646BBC">
        <w:rPr>
          <w:rFonts w:eastAsia="標楷體" w:hint="eastAsia"/>
          <w:color w:val="auto"/>
          <w:sz w:val="28"/>
        </w:rPr>
        <w:t>業務</w:t>
      </w:r>
      <w:r w:rsidRPr="00646BBC">
        <w:rPr>
          <w:rFonts w:eastAsia="標楷體" w:hint="eastAsia"/>
          <w:color w:val="auto"/>
          <w:sz w:val="28"/>
        </w:rPr>
        <w:t>臨時需要，</w:t>
      </w:r>
      <w:r w:rsidR="00754978" w:rsidRPr="00646BBC">
        <w:rPr>
          <w:rFonts w:eastAsia="標楷體" w:hint="eastAsia"/>
          <w:color w:val="auto"/>
          <w:sz w:val="28"/>
        </w:rPr>
        <w:t>經本府專案核准之</w:t>
      </w:r>
      <w:r w:rsidRPr="00646BBC">
        <w:rPr>
          <w:rFonts w:eastAsia="標楷體" w:hint="eastAsia"/>
          <w:color w:val="auto"/>
          <w:sz w:val="28"/>
        </w:rPr>
        <w:t>出國及赴大陸地區案件，除經費</w:t>
      </w:r>
      <w:r w:rsidR="009614A2" w:rsidRPr="00646BBC">
        <w:rPr>
          <w:rFonts w:eastAsia="標楷體" w:hint="eastAsia"/>
          <w:color w:val="auto"/>
          <w:sz w:val="28"/>
        </w:rPr>
        <w:t>及差</w:t>
      </w:r>
      <w:proofErr w:type="gramStart"/>
      <w:r w:rsidR="009614A2" w:rsidRPr="00646BBC">
        <w:rPr>
          <w:rFonts w:eastAsia="標楷體" w:hint="eastAsia"/>
          <w:color w:val="auto"/>
          <w:sz w:val="28"/>
        </w:rPr>
        <w:t>假</w:t>
      </w:r>
      <w:r w:rsidRPr="00646BBC">
        <w:rPr>
          <w:rFonts w:eastAsia="標楷體" w:hint="eastAsia"/>
          <w:color w:val="auto"/>
          <w:sz w:val="28"/>
        </w:rPr>
        <w:t>外</w:t>
      </w:r>
      <w:r w:rsidR="006864C3" w:rsidRPr="00646BBC">
        <w:rPr>
          <w:rFonts w:eastAsia="標楷體" w:hint="eastAsia"/>
          <w:color w:val="auto"/>
          <w:sz w:val="28"/>
        </w:rPr>
        <w:t>得</w:t>
      </w:r>
      <w:r w:rsidRPr="00646BBC">
        <w:rPr>
          <w:rFonts w:eastAsia="標楷體" w:hint="eastAsia"/>
          <w:color w:val="auto"/>
          <w:sz w:val="28"/>
        </w:rPr>
        <w:t>不</w:t>
      </w:r>
      <w:proofErr w:type="gramEnd"/>
      <w:r w:rsidRPr="00646BBC">
        <w:rPr>
          <w:rFonts w:eastAsia="標楷體" w:hint="eastAsia"/>
          <w:color w:val="auto"/>
          <w:sz w:val="28"/>
        </w:rPr>
        <w:t>受本要點第</w:t>
      </w:r>
      <w:r w:rsidR="008E7099" w:rsidRPr="00646BBC">
        <w:rPr>
          <w:rFonts w:eastAsia="標楷體" w:hint="eastAsia"/>
          <w:color w:val="auto"/>
          <w:sz w:val="28"/>
        </w:rPr>
        <w:t>六</w:t>
      </w:r>
      <w:r w:rsidRPr="00646BBC">
        <w:rPr>
          <w:rFonts w:eastAsia="標楷體" w:hint="eastAsia"/>
          <w:color w:val="auto"/>
          <w:sz w:val="28"/>
        </w:rPr>
        <w:t>點至第</w:t>
      </w:r>
      <w:r w:rsidR="008E7099" w:rsidRPr="00646BBC">
        <w:rPr>
          <w:rFonts w:eastAsia="標楷體" w:hint="eastAsia"/>
          <w:color w:val="auto"/>
          <w:sz w:val="28"/>
        </w:rPr>
        <w:t>十</w:t>
      </w:r>
      <w:r w:rsidRPr="00646BBC">
        <w:rPr>
          <w:rFonts w:eastAsia="標楷體" w:hint="eastAsia"/>
          <w:color w:val="auto"/>
          <w:sz w:val="28"/>
        </w:rPr>
        <w:t>點</w:t>
      </w:r>
      <w:r w:rsidR="00C95425" w:rsidRPr="00646BBC">
        <w:rPr>
          <w:rFonts w:eastAsia="標楷體" w:hint="eastAsia"/>
          <w:color w:val="auto"/>
          <w:sz w:val="28"/>
        </w:rPr>
        <w:t>規定</w:t>
      </w:r>
      <w:r w:rsidRPr="00646BBC">
        <w:rPr>
          <w:rFonts w:eastAsia="標楷體" w:hint="eastAsia"/>
          <w:color w:val="auto"/>
          <w:sz w:val="28"/>
        </w:rPr>
        <w:t>之限制，以增加執行彈性並符合實務需求。</w:t>
      </w:r>
      <w:r w:rsidR="005872FB" w:rsidRPr="00646BBC">
        <w:rPr>
          <w:rFonts w:eastAsia="標楷體" w:hint="eastAsia"/>
          <w:color w:val="auto"/>
          <w:sz w:val="28"/>
        </w:rPr>
        <w:t>（修正規定</w:t>
      </w:r>
      <w:r w:rsidR="005872FB" w:rsidRPr="00646BBC">
        <w:rPr>
          <w:rFonts w:eastAsia="標楷體"/>
          <w:color w:val="auto"/>
          <w:sz w:val="28"/>
        </w:rPr>
        <w:t>第</w:t>
      </w:r>
      <w:r w:rsidR="005872FB" w:rsidRPr="00646BBC">
        <w:rPr>
          <w:rFonts w:eastAsia="標楷體" w:hint="eastAsia"/>
          <w:color w:val="auto"/>
          <w:sz w:val="28"/>
        </w:rPr>
        <w:t>十九點）</w:t>
      </w:r>
    </w:p>
    <w:p w:rsidR="005872FB" w:rsidRPr="00646BBC" w:rsidRDefault="005872FB" w:rsidP="00993346">
      <w:pPr>
        <w:pStyle w:val="Default"/>
        <w:numPr>
          <w:ilvl w:val="0"/>
          <w:numId w:val="3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eastAsia="標楷體"/>
          <w:color w:val="auto"/>
          <w:sz w:val="28"/>
        </w:rPr>
      </w:pPr>
      <w:proofErr w:type="gramStart"/>
      <w:r w:rsidRPr="00646BBC">
        <w:rPr>
          <w:rFonts w:eastAsia="標楷體" w:hint="eastAsia"/>
          <w:color w:val="auto"/>
          <w:sz w:val="28"/>
        </w:rPr>
        <w:t>點次遞</w:t>
      </w:r>
      <w:proofErr w:type="gramEnd"/>
      <w:r w:rsidRPr="00646BBC">
        <w:rPr>
          <w:rFonts w:eastAsia="標楷體" w:hint="eastAsia"/>
          <w:color w:val="auto"/>
          <w:sz w:val="28"/>
        </w:rPr>
        <w:t>移。（修正規定</w:t>
      </w:r>
      <w:r w:rsidRPr="00646BBC">
        <w:rPr>
          <w:rFonts w:eastAsia="標楷體"/>
          <w:color w:val="auto"/>
          <w:sz w:val="28"/>
        </w:rPr>
        <w:t>第</w:t>
      </w:r>
      <w:r w:rsidRPr="00646BBC">
        <w:rPr>
          <w:rFonts w:eastAsia="標楷體" w:hint="eastAsia"/>
          <w:color w:val="auto"/>
          <w:sz w:val="28"/>
        </w:rPr>
        <w:t>二十點）</w:t>
      </w:r>
    </w:p>
    <w:sectPr w:rsidR="005872FB" w:rsidRPr="00646BBC" w:rsidSect="00E9310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D8" w:rsidRDefault="00C617D8" w:rsidP="00F52DD1">
      <w:r>
        <w:separator/>
      </w:r>
    </w:p>
  </w:endnote>
  <w:endnote w:type="continuationSeparator" w:id="0">
    <w:p w:rsidR="00C617D8" w:rsidRDefault="00C617D8" w:rsidP="00F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D8" w:rsidRDefault="00C617D8" w:rsidP="00F52DD1">
      <w:r>
        <w:separator/>
      </w:r>
    </w:p>
  </w:footnote>
  <w:footnote w:type="continuationSeparator" w:id="0">
    <w:p w:rsidR="00C617D8" w:rsidRDefault="00C617D8" w:rsidP="00F5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24172"/>
    <w:multiLevelType w:val="hybridMultilevel"/>
    <w:tmpl w:val="C9460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F206A9"/>
    <w:multiLevelType w:val="hybridMultilevel"/>
    <w:tmpl w:val="4C20DB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31DB5"/>
    <w:multiLevelType w:val="hybridMultilevel"/>
    <w:tmpl w:val="02B8A9B4"/>
    <w:lvl w:ilvl="0" w:tplc="D5BC0C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B9"/>
    <w:rsid w:val="00004144"/>
    <w:rsid w:val="00004B0F"/>
    <w:rsid w:val="0002466D"/>
    <w:rsid w:val="0004173D"/>
    <w:rsid w:val="00093146"/>
    <w:rsid w:val="000A6C98"/>
    <w:rsid w:val="000D238F"/>
    <w:rsid w:val="000E0ACD"/>
    <w:rsid w:val="000F10EC"/>
    <w:rsid w:val="000F20ED"/>
    <w:rsid w:val="0011252D"/>
    <w:rsid w:val="00126CE1"/>
    <w:rsid w:val="00171317"/>
    <w:rsid w:val="001765EA"/>
    <w:rsid w:val="001768EC"/>
    <w:rsid w:val="00193528"/>
    <w:rsid w:val="001F2E74"/>
    <w:rsid w:val="00215D93"/>
    <w:rsid w:val="0022145D"/>
    <w:rsid w:val="00231489"/>
    <w:rsid w:val="002777ED"/>
    <w:rsid w:val="0036129A"/>
    <w:rsid w:val="003A1992"/>
    <w:rsid w:val="00413DB5"/>
    <w:rsid w:val="0047316E"/>
    <w:rsid w:val="004778CB"/>
    <w:rsid w:val="00487842"/>
    <w:rsid w:val="004921B9"/>
    <w:rsid w:val="004B0E85"/>
    <w:rsid w:val="004C6469"/>
    <w:rsid w:val="004C7752"/>
    <w:rsid w:val="004D4A61"/>
    <w:rsid w:val="005205B9"/>
    <w:rsid w:val="00537601"/>
    <w:rsid w:val="005872FB"/>
    <w:rsid w:val="005A0C98"/>
    <w:rsid w:val="005A3EC1"/>
    <w:rsid w:val="005A5751"/>
    <w:rsid w:val="005C57B5"/>
    <w:rsid w:val="005D0207"/>
    <w:rsid w:val="005D48F5"/>
    <w:rsid w:val="005E14D5"/>
    <w:rsid w:val="005E51CE"/>
    <w:rsid w:val="00616EE4"/>
    <w:rsid w:val="00646BBC"/>
    <w:rsid w:val="00656C6C"/>
    <w:rsid w:val="00674B4D"/>
    <w:rsid w:val="006753F3"/>
    <w:rsid w:val="006864C3"/>
    <w:rsid w:val="006A137B"/>
    <w:rsid w:val="006A47AC"/>
    <w:rsid w:val="006B79A3"/>
    <w:rsid w:val="006B7B18"/>
    <w:rsid w:val="006F0854"/>
    <w:rsid w:val="00703087"/>
    <w:rsid w:val="00710606"/>
    <w:rsid w:val="0072710B"/>
    <w:rsid w:val="0074120A"/>
    <w:rsid w:val="00745D01"/>
    <w:rsid w:val="00754978"/>
    <w:rsid w:val="00790377"/>
    <w:rsid w:val="00804BB8"/>
    <w:rsid w:val="008145E0"/>
    <w:rsid w:val="00822710"/>
    <w:rsid w:val="008245ED"/>
    <w:rsid w:val="00840147"/>
    <w:rsid w:val="008711DF"/>
    <w:rsid w:val="0089202C"/>
    <w:rsid w:val="008C137E"/>
    <w:rsid w:val="008E1492"/>
    <w:rsid w:val="008E7099"/>
    <w:rsid w:val="008F27D4"/>
    <w:rsid w:val="009003AD"/>
    <w:rsid w:val="0091744A"/>
    <w:rsid w:val="0092355E"/>
    <w:rsid w:val="009467ED"/>
    <w:rsid w:val="009538F9"/>
    <w:rsid w:val="009614A2"/>
    <w:rsid w:val="009648D6"/>
    <w:rsid w:val="00993346"/>
    <w:rsid w:val="00997234"/>
    <w:rsid w:val="009A08FF"/>
    <w:rsid w:val="00A20147"/>
    <w:rsid w:val="00A30E21"/>
    <w:rsid w:val="00A332E9"/>
    <w:rsid w:val="00A34CF0"/>
    <w:rsid w:val="00AB2299"/>
    <w:rsid w:val="00AB260C"/>
    <w:rsid w:val="00AB7EB2"/>
    <w:rsid w:val="00AC7303"/>
    <w:rsid w:val="00B3194A"/>
    <w:rsid w:val="00B518AB"/>
    <w:rsid w:val="00B53E92"/>
    <w:rsid w:val="00B55CE7"/>
    <w:rsid w:val="00BC22AC"/>
    <w:rsid w:val="00C617D8"/>
    <w:rsid w:val="00C85253"/>
    <w:rsid w:val="00C95425"/>
    <w:rsid w:val="00D10EB4"/>
    <w:rsid w:val="00D85A18"/>
    <w:rsid w:val="00DA17CE"/>
    <w:rsid w:val="00DB6D98"/>
    <w:rsid w:val="00E060AC"/>
    <w:rsid w:val="00E9310A"/>
    <w:rsid w:val="00EE384C"/>
    <w:rsid w:val="00F15450"/>
    <w:rsid w:val="00F1735A"/>
    <w:rsid w:val="00F52DD1"/>
    <w:rsid w:val="00F62E39"/>
    <w:rsid w:val="00F83F8B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CBFF"/>
  <w15:docId w15:val="{AE846536-EE01-46C6-9629-584C998A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D9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2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D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DD1"/>
    <w:rPr>
      <w:sz w:val="20"/>
      <w:szCs w:val="20"/>
    </w:rPr>
  </w:style>
  <w:style w:type="character" w:customStyle="1" w:styleId="class25">
    <w:name w:val="class25"/>
    <w:basedOn w:val="a0"/>
    <w:rsid w:val="00193528"/>
  </w:style>
  <w:style w:type="character" w:customStyle="1" w:styleId="class45">
    <w:name w:val="class45"/>
    <w:basedOn w:val="a0"/>
    <w:rsid w:val="00126CE1"/>
  </w:style>
  <w:style w:type="character" w:customStyle="1" w:styleId="class35">
    <w:name w:val="class35"/>
    <w:basedOn w:val="a0"/>
    <w:rsid w:val="00A3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F2A5-8FEC-448F-BE0B-0E27F47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張頤瑄</cp:lastModifiedBy>
  <cp:revision>3</cp:revision>
  <cp:lastPrinted>2019-10-14T01:27:00Z</cp:lastPrinted>
  <dcterms:created xsi:type="dcterms:W3CDTF">2019-10-16T05:25:00Z</dcterms:created>
  <dcterms:modified xsi:type="dcterms:W3CDTF">2019-10-16T06:58:00Z</dcterms:modified>
</cp:coreProperties>
</file>